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AD9453" w14:textId="77777777" w:rsidR="00F06B78" w:rsidRDefault="00F06B78" w:rsidP="00F06B78">
      <w:pPr>
        <w:bidi/>
        <w:jc w:val="center"/>
      </w:pPr>
      <w:r>
        <w:rPr>
          <w:rFonts w:ascii="Calibri Light" w:hAnsi="Calibri Light" w:cs="Calibri Light"/>
          <w:noProof/>
          <w:lang w:bidi="ar-QA"/>
        </w:rPr>
        <w:drawing>
          <wp:inline distT="0" distB="0" distL="0" distR="0" wp14:anchorId="597BFE55" wp14:editId="3CF1E4AE">
            <wp:extent cx="6324600" cy="1605244"/>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364010" cy="1615247"/>
                    </a:xfrm>
                    <a:prstGeom prst="rect">
                      <a:avLst/>
                    </a:prstGeom>
                    <a:noFill/>
                    <a:ln>
                      <a:noFill/>
                    </a:ln>
                  </pic:spPr>
                </pic:pic>
              </a:graphicData>
            </a:graphic>
          </wp:inline>
        </w:drawing>
      </w:r>
    </w:p>
    <w:p w14:paraId="351FD4AC" w14:textId="77777777" w:rsidR="00F06B78" w:rsidRDefault="00F06B78" w:rsidP="00F06B78">
      <w:pPr>
        <w:bidi/>
        <w:jc w:val="highKashida"/>
      </w:pPr>
      <w:r>
        <w:rPr>
          <w:rFonts w:ascii="Arial" w:hAnsi="Arial" w:cs="Arial"/>
          <w:b/>
          <w:bCs/>
          <w14:ligatures w14:val="none"/>
        </w:rPr>
        <w:t> </w:t>
      </w:r>
    </w:p>
    <w:p w14:paraId="212E9DE2" w14:textId="77777777" w:rsidR="00F06B78" w:rsidRDefault="00F06B78" w:rsidP="00F06B78">
      <w:pPr>
        <w:bidi/>
        <w:jc w:val="highKashida"/>
        <w:outlineLvl w:val="0"/>
        <w:rPr>
          <w:rtl/>
        </w:rPr>
      </w:pPr>
      <w:r>
        <w:rPr>
          <w:rFonts w:ascii="Arial" w:hAnsi="Arial" w:cs="Arial"/>
          <w:b/>
          <w:bCs/>
          <w:rtl/>
          <w:lang w:bidi="ar-QA"/>
          <w14:ligatures w14:val="none"/>
        </w:rPr>
        <w:t>من: مكتب نائب رئيس الجامعة للشؤون الأكاديمية</w:t>
      </w:r>
    </w:p>
    <w:p w14:paraId="146BA0F3" w14:textId="77777777" w:rsidR="00F06B78" w:rsidRDefault="00F06B78" w:rsidP="00F06B78">
      <w:pPr>
        <w:bidi/>
        <w:jc w:val="highKashida"/>
        <w:rPr>
          <w:rtl/>
        </w:rPr>
      </w:pPr>
      <w:r>
        <w:rPr>
          <w:rFonts w:ascii="Arial" w:hAnsi="Arial" w:cs="Arial"/>
          <w:b/>
          <w:bCs/>
          <w:rtl/>
          <w:lang w:bidi="ar-QA"/>
          <w14:ligatures w14:val="none"/>
        </w:rPr>
        <w:t xml:space="preserve">إلى: الجميع </w:t>
      </w:r>
    </w:p>
    <w:p w14:paraId="000A4673" w14:textId="77777777" w:rsidR="00F06B78" w:rsidRDefault="00F06B78" w:rsidP="00F06B78">
      <w:pPr>
        <w:bidi/>
        <w:spacing w:after="160"/>
        <w:rPr>
          <w:rtl/>
        </w:rPr>
      </w:pPr>
      <w:r>
        <w:rPr>
          <w:rFonts w:ascii="Arial" w:hAnsi="Arial" w:cs="Arial"/>
          <w:b/>
          <w:bCs/>
          <w:rtl/>
          <w:lang w:bidi="ar-QA"/>
          <w14:ligatures w14:val="none"/>
        </w:rPr>
        <w:t xml:space="preserve">الموضوع: تعيين عميد مساعد للشؤون الأكاديمية بكلية القانون </w:t>
      </w:r>
    </w:p>
    <w:p w14:paraId="253D57C9" w14:textId="77777777" w:rsidR="00F06B78" w:rsidRDefault="00F06B78" w:rsidP="00F06B78">
      <w:pPr>
        <w:bidi/>
        <w:jc w:val="highKashida"/>
        <w:rPr>
          <w:rtl/>
        </w:rPr>
      </w:pPr>
      <w:r>
        <w:rPr>
          <w:rFonts w:ascii="Arial" w:hAnsi="Arial" w:cs="Arial"/>
          <w:b/>
          <w:bCs/>
          <w14:ligatures w14:val="none"/>
        </w:rPr>
        <w:t> </w:t>
      </w:r>
    </w:p>
    <w:p w14:paraId="3D5D81BA" w14:textId="77777777" w:rsidR="00F06B78" w:rsidRDefault="00F06B78" w:rsidP="00F06B78">
      <w:pPr>
        <w:bidi/>
        <w:jc w:val="both"/>
        <w:rPr>
          <w:rtl/>
        </w:rPr>
      </w:pPr>
      <w:r>
        <w:rPr>
          <w:rFonts w:ascii="Arial" w:hAnsi="Arial" w:cs="Arial"/>
          <w:rtl/>
          <w:lang w:bidi="ar-QA"/>
          <w14:ligatures w14:val="none"/>
        </w:rPr>
        <w:t xml:space="preserve">يسر مكتب نائب رئيس الجامعة للشؤون الأكاديمية أن يعلن بأنه قد تم تعيين الدكتور/ أندرو مازن </w:t>
      </w:r>
      <w:proofErr w:type="spellStart"/>
      <w:r>
        <w:rPr>
          <w:rFonts w:ascii="Arial" w:hAnsi="Arial" w:cs="Arial"/>
          <w:rtl/>
          <w:lang w:bidi="ar-QA"/>
          <w14:ligatures w14:val="none"/>
        </w:rPr>
        <w:t>دحدل</w:t>
      </w:r>
      <w:proofErr w:type="spellEnd"/>
      <w:r>
        <w:rPr>
          <w:rFonts w:ascii="Arial" w:hAnsi="Arial" w:cs="Arial"/>
          <w:rtl/>
          <w:lang w:bidi="ar-QA"/>
          <w14:ligatures w14:val="none"/>
        </w:rPr>
        <w:t>، عميدًا مساعدًا للشئون الأكاديمية بكلية القانون، وذلك اعتبارًا من 25 أغسطس 2025.</w:t>
      </w:r>
    </w:p>
    <w:p w14:paraId="47469D87" w14:textId="77777777" w:rsidR="00F06B78" w:rsidRDefault="00F06B78" w:rsidP="00F06B78">
      <w:pPr>
        <w:shd w:val="clear" w:color="auto" w:fill="FFFFFF"/>
        <w:bidi/>
        <w:jc w:val="both"/>
        <w:rPr>
          <w:rtl/>
        </w:rPr>
      </w:pPr>
      <w:r>
        <w:rPr>
          <w:rFonts w:ascii="Arial" w:hAnsi="Arial" w:cs="Arial"/>
          <w:color w:val="242424"/>
          <w:bdr w:val="none" w:sz="0" w:space="0" w:color="auto" w:frame="1"/>
          <w:rtl/>
          <w14:ligatures w14:val="none"/>
        </w:rPr>
        <w:t xml:space="preserve">الدكتور أندرو مازن </w:t>
      </w:r>
      <w:proofErr w:type="spellStart"/>
      <w:r>
        <w:rPr>
          <w:rFonts w:ascii="Arial" w:hAnsi="Arial" w:cs="Arial"/>
          <w:color w:val="242424"/>
          <w:bdr w:val="none" w:sz="0" w:space="0" w:color="auto" w:frame="1"/>
          <w:rtl/>
          <w14:ligatures w14:val="none"/>
        </w:rPr>
        <w:t>دحدل</w:t>
      </w:r>
      <w:proofErr w:type="spellEnd"/>
      <w:r>
        <w:rPr>
          <w:rFonts w:ascii="Arial" w:hAnsi="Arial" w:cs="Arial"/>
          <w:color w:val="242424"/>
          <w:bdr w:val="none" w:sz="0" w:space="0" w:color="auto" w:frame="1"/>
          <w:rtl/>
          <w14:ligatures w14:val="none"/>
        </w:rPr>
        <w:t xml:space="preserve"> أستاذ مشارك في القانون الخاص، حصل على درجة الدكتوراه في عام 2014 من جامعة نيو ساوث ويلز (سيدني، أستراليا)، متخصصًا في تنظيم القطاع المصرفي وتفسير الدستور. وقد قام بالتدريس في جامعة </w:t>
      </w:r>
      <w:proofErr w:type="spellStart"/>
      <w:r>
        <w:rPr>
          <w:rFonts w:ascii="Arial" w:hAnsi="Arial" w:cs="Arial"/>
          <w:color w:val="242424"/>
          <w:bdr w:val="none" w:sz="0" w:space="0" w:color="auto" w:frame="1"/>
          <w:rtl/>
          <w14:ligatures w14:val="none"/>
        </w:rPr>
        <w:t>ماكواري</w:t>
      </w:r>
      <w:proofErr w:type="spellEnd"/>
      <w:r>
        <w:rPr>
          <w:rFonts w:ascii="Arial" w:hAnsi="Arial" w:cs="Arial"/>
          <w:color w:val="242424"/>
          <w:bdr w:val="none" w:sz="0" w:space="0" w:color="auto" w:frame="1"/>
          <w:rtl/>
          <w14:ligatures w14:val="none"/>
        </w:rPr>
        <w:t xml:space="preserve"> (سيدني، أستراليا) قبل انضمامه إلى كلية القانون في جامعة قطر عام 2015.</w:t>
      </w:r>
      <w:r>
        <w:rPr>
          <w:rFonts w:ascii="Arial" w:hAnsi="Arial" w:cs="Arial"/>
          <w:color w:val="242424"/>
          <w:bdr w:val="none" w:sz="0" w:space="0" w:color="auto" w:frame="1"/>
          <w14:ligatures w14:val="none"/>
        </w:rPr>
        <w:t> </w:t>
      </w:r>
    </w:p>
    <w:p w14:paraId="7B161F87" w14:textId="77777777" w:rsidR="00F06B78" w:rsidRDefault="00F06B78" w:rsidP="00F06B78">
      <w:pPr>
        <w:shd w:val="clear" w:color="auto" w:fill="FFFFFF"/>
        <w:bidi/>
        <w:jc w:val="both"/>
        <w:rPr>
          <w:rtl/>
        </w:rPr>
      </w:pPr>
      <w:r>
        <w:rPr>
          <w:rFonts w:ascii="Arial" w:hAnsi="Arial" w:cs="Arial"/>
          <w:color w:val="242424"/>
          <w:bdr w:val="none" w:sz="0" w:space="0" w:color="auto" w:frame="1"/>
          <w:rtl/>
          <w14:ligatures w14:val="none"/>
        </w:rPr>
        <w:t xml:space="preserve">منذ عام 2016، يشغل الدكتور </w:t>
      </w:r>
      <w:proofErr w:type="spellStart"/>
      <w:r>
        <w:rPr>
          <w:rFonts w:ascii="Arial" w:hAnsi="Arial" w:cs="Arial"/>
          <w:color w:val="242424"/>
          <w:bdr w:val="none" w:sz="0" w:space="0" w:color="auto" w:frame="1"/>
          <w:rtl/>
          <w14:ligatures w14:val="none"/>
        </w:rPr>
        <w:t>دحدل</w:t>
      </w:r>
      <w:proofErr w:type="spellEnd"/>
      <w:r>
        <w:rPr>
          <w:rFonts w:ascii="Arial" w:hAnsi="Arial" w:cs="Arial"/>
          <w:color w:val="242424"/>
          <w:bdr w:val="none" w:sz="0" w:space="0" w:color="auto" w:frame="1"/>
          <w:rtl/>
          <w14:ligatures w14:val="none"/>
        </w:rPr>
        <w:t xml:space="preserve"> منصب رئيس مجموعة القانون التجاري في الجمعية الدولية لكليات القانون (</w:t>
      </w:r>
      <w:r>
        <w:rPr>
          <w:rFonts w:ascii="Arial" w:hAnsi="Arial" w:cs="Arial"/>
          <w:color w:val="242424"/>
          <w:bdr w:val="none" w:sz="0" w:space="0" w:color="auto" w:frame="1"/>
          <w14:ligatures w14:val="none"/>
        </w:rPr>
        <w:t>IALS</w:t>
      </w:r>
      <w:r>
        <w:rPr>
          <w:rFonts w:ascii="Arial" w:hAnsi="Arial" w:cs="Arial"/>
          <w:color w:val="000000"/>
          <w:rtl/>
          <w14:ligatures w14:val="none"/>
        </w:rPr>
        <w:t>). ويُعد من القادة البارزين في مجال البحث القانوني والإصلاح، لا سيما في قطاع التكنولوجيا المالية (</w:t>
      </w:r>
      <w:r>
        <w:rPr>
          <w:rFonts w:ascii="Arial" w:hAnsi="Arial" w:cs="Arial"/>
          <w:color w:val="242424"/>
          <w:bdr w:val="none" w:sz="0" w:space="0" w:color="auto" w:frame="1"/>
          <w14:ligatures w14:val="none"/>
        </w:rPr>
        <w:t>Fintech</w:t>
      </w:r>
      <w:r>
        <w:rPr>
          <w:rFonts w:ascii="Arial" w:hAnsi="Arial" w:cs="Arial"/>
          <w:color w:val="000000"/>
          <w:rtl/>
          <w14:ligatures w14:val="none"/>
        </w:rPr>
        <w:t>) المتطور بسرعة في دولة قطر. وقد قاد وساهم في العديد من المشاريع البحثية الممولة التي ركزت على التمويل الرقمي، والشمول المالي، والابتكار القانوني، وأسهمت في صياغة إصلاحات تشريعية مهمة في الدولة.</w:t>
      </w:r>
      <w:r>
        <w:rPr>
          <w:rFonts w:ascii="Arial" w:hAnsi="Arial" w:cs="Arial"/>
          <w:color w:val="242424"/>
          <w:bdr w:val="none" w:sz="0" w:space="0" w:color="auto" w:frame="1"/>
          <w14:ligatures w14:val="none"/>
        </w:rPr>
        <w:t> </w:t>
      </w:r>
    </w:p>
    <w:p w14:paraId="1AC475EE" w14:textId="77777777" w:rsidR="00F06B78" w:rsidRDefault="00F06B78" w:rsidP="00F06B78">
      <w:pPr>
        <w:shd w:val="clear" w:color="auto" w:fill="FFFFFF"/>
        <w:bidi/>
        <w:jc w:val="both"/>
        <w:rPr>
          <w:rtl/>
        </w:rPr>
      </w:pPr>
      <w:r>
        <w:rPr>
          <w:rFonts w:ascii="Arial" w:hAnsi="Arial" w:cs="Arial"/>
          <w:color w:val="242424"/>
          <w:bdr w:val="none" w:sz="0" w:space="0" w:color="auto" w:frame="1"/>
          <w:rtl/>
          <w14:ligatures w14:val="none"/>
        </w:rPr>
        <w:t xml:space="preserve">يتعاون الدكتور </w:t>
      </w:r>
      <w:proofErr w:type="spellStart"/>
      <w:r>
        <w:rPr>
          <w:rFonts w:ascii="Arial" w:hAnsi="Arial" w:cs="Arial"/>
          <w:color w:val="242424"/>
          <w:bdr w:val="none" w:sz="0" w:space="0" w:color="auto" w:frame="1"/>
          <w:rtl/>
          <w14:ligatures w14:val="none"/>
        </w:rPr>
        <w:t>دحدل</w:t>
      </w:r>
      <w:proofErr w:type="spellEnd"/>
      <w:r>
        <w:rPr>
          <w:rFonts w:ascii="Arial" w:hAnsi="Arial" w:cs="Arial"/>
          <w:color w:val="242424"/>
          <w:bdr w:val="none" w:sz="0" w:space="0" w:color="auto" w:frame="1"/>
          <w:rtl/>
          <w14:ligatures w14:val="none"/>
        </w:rPr>
        <w:t xml:space="preserve"> بشكل منتظم مع الجهات الفاعلة في القطاع، ويقدم مذكرات خبرة للجهات الحكومية الوطنية والدولية حول موضوعات تشمل التمويل الرقمي، والتقنيات الناشئة، والمساءلة المؤسسية. وتشمل مساهماته الأكاديمية كتبًا وفصولًا ومقالات محكّمة، ومن أبرز أعماله كتاب "القانون التجاري القطري" الذي صدر عن دار نشر جامعة قطر في عام 2022، ويقدم نظرة شاملة على تنظيم الأعمال التجارية في الدولة.</w:t>
      </w:r>
      <w:r>
        <w:rPr>
          <w:rFonts w:ascii="Arial" w:hAnsi="Arial" w:cs="Arial"/>
          <w:color w:val="242424"/>
          <w:bdr w:val="none" w:sz="0" w:space="0" w:color="auto" w:frame="1"/>
          <w14:ligatures w14:val="none"/>
        </w:rPr>
        <w:t> </w:t>
      </w:r>
    </w:p>
    <w:p w14:paraId="7DECF6E9" w14:textId="77777777" w:rsidR="00F06B78" w:rsidRDefault="00F06B78" w:rsidP="00F06B78">
      <w:pPr>
        <w:shd w:val="clear" w:color="auto" w:fill="FFFFFF"/>
        <w:bidi/>
        <w:jc w:val="both"/>
        <w:rPr>
          <w:rtl/>
        </w:rPr>
      </w:pPr>
      <w:r>
        <w:rPr>
          <w:rFonts w:ascii="Arial" w:hAnsi="Arial" w:cs="Arial"/>
          <w:color w:val="242424"/>
          <w:bdr w:val="none" w:sz="0" w:space="0" w:color="auto" w:frame="1"/>
          <w:rtl/>
          <w14:ligatures w14:val="none"/>
        </w:rPr>
        <w:t xml:space="preserve">تقديرًا لجهوده القيادية، تم تعيين الدكتور </w:t>
      </w:r>
      <w:proofErr w:type="spellStart"/>
      <w:r>
        <w:rPr>
          <w:rFonts w:ascii="Arial" w:hAnsi="Arial" w:cs="Arial"/>
          <w:color w:val="242424"/>
          <w:bdr w:val="none" w:sz="0" w:space="0" w:color="auto" w:frame="1"/>
          <w:rtl/>
          <w14:ligatures w14:val="none"/>
        </w:rPr>
        <w:t>دحدل</w:t>
      </w:r>
      <w:proofErr w:type="spellEnd"/>
      <w:r>
        <w:rPr>
          <w:rFonts w:ascii="Arial" w:hAnsi="Arial" w:cs="Arial"/>
          <w:color w:val="242424"/>
          <w:bdr w:val="none" w:sz="0" w:space="0" w:color="auto" w:frame="1"/>
          <w:rtl/>
          <w14:ligatures w14:val="none"/>
        </w:rPr>
        <w:t xml:space="preserve"> في عام 2023 رئيسًا للجنة التخطيط الاستراتيجي والعلاقات الوطنية والدولية والتصنيفات في كلية القانون. وفي عام 2024، انضم إلى مجموعة الخبراء الاستشارية لإطار الأصول الرقمية في مركز قطر للمال (</w:t>
      </w:r>
      <w:r>
        <w:rPr>
          <w:rFonts w:ascii="Arial" w:hAnsi="Arial" w:cs="Arial"/>
          <w:color w:val="242424"/>
          <w:bdr w:val="none" w:sz="0" w:space="0" w:color="auto" w:frame="1"/>
          <w14:ligatures w14:val="none"/>
        </w:rPr>
        <w:t>QFC</w:t>
      </w:r>
      <w:r>
        <w:rPr>
          <w:rFonts w:ascii="Arial" w:hAnsi="Arial" w:cs="Arial"/>
          <w:color w:val="000000"/>
          <w:rtl/>
          <w14:ligatures w14:val="none"/>
        </w:rPr>
        <w:t xml:space="preserve">)، كما يعمل خبيرًا صناعيًا وموجهًا في مركز قطر للتكنولوجيا المالية منذ عام 2021. وفي عام 2025، نال الدكتور </w:t>
      </w:r>
      <w:proofErr w:type="spellStart"/>
      <w:r>
        <w:rPr>
          <w:rFonts w:ascii="Arial" w:hAnsi="Arial" w:cs="Arial"/>
          <w:color w:val="000000"/>
          <w:rtl/>
          <w14:ligatures w14:val="none"/>
        </w:rPr>
        <w:t>دحدل</w:t>
      </w:r>
      <w:proofErr w:type="spellEnd"/>
      <w:r>
        <w:rPr>
          <w:rFonts w:ascii="Arial" w:hAnsi="Arial" w:cs="Arial"/>
          <w:color w:val="000000"/>
          <w:rtl/>
          <w14:ligatures w14:val="none"/>
        </w:rPr>
        <w:t xml:space="preserve"> جائزة "الأكاديمي القانوني للعام في قطر" من إحدى أبرز دور النشر القانونية في المنطقة، تأكيدًا لتأثيره في التعليم القانوني والبحث وصياغة السياسات في المنطقة.</w:t>
      </w:r>
    </w:p>
    <w:p w14:paraId="06C9457B" w14:textId="77777777" w:rsidR="00F06B78" w:rsidRDefault="00F06B78" w:rsidP="00F06B78">
      <w:pPr>
        <w:bidi/>
        <w:jc w:val="both"/>
        <w:rPr>
          <w:rtl/>
        </w:rPr>
      </w:pPr>
      <w:r>
        <w:rPr>
          <w:rFonts w:ascii="Arial" w:hAnsi="Arial" w:cs="Arial"/>
          <w:rtl/>
          <w:lang w:bidi="ar-QA"/>
          <w14:ligatures w14:val="none"/>
        </w:rPr>
        <w:t>كما يسر مكتب نائب رئيس الجامعة للشئون الأكاديمية أن يتقدم بخالص الشكر والتقدير على الجهود المخلصة التي بذلها الدكتور/ محمد حسن الكعبي، خلال فترة توليه هذا المنصب.</w:t>
      </w:r>
    </w:p>
    <w:p w14:paraId="727B2478" w14:textId="77777777" w:rsidR="00F06B78" w:rsidRDefault="00F06B78" w:rsidP="00F06B78">
      <w:pPr>
        <w:bidi/>
        <w:spacing w:before="100" w:beforeAutospacing="1" w:after="100" w:afterAutospacing="1" w:line="252" w:lineRule="auto"/>
        <w:jc w:val="both"/>
        <w:rPr>
          <w:rtl/>
        </w:rPr>
      </w:pPr>
      <w:r>
        <w:rPr>
          <w:rFonts w:ascii="Arial" w:hAnsi="Arial" w:cs="Arial"/>
          <w:sz w:val="26"/>
          <w:szCs w:val="26"/>
          <w14:ligatures w14:val="none"/>
        </w:rPr>
        <w:t> </w:t>
      </w:r>
    </w:p>
    <w:p w14:paraId="793316E9" w14:textId="77777777" w:rsidR="00F06B78" w:rsidRDefault="00F06B78" w:rsidP="00F06B78">
      <w:pPr>
        <w:outlineLvl w:val="0"/>
        <w:rPr>
          <w:rtl/>
        </w:rPr>
      </w:pPr>
      <w:r>
        <w:rPr>
          <w:rFonts w:ascii="Arial" w:hAnsi="Arial" w:cs="Arial"/>
          <w:b/>
          <w:bCs/>
          <w:color w:val="000000"/>
          <w:sz w:val="20"/>
          <w:szCs w:val="20"/>
          <w14:ligatures w14:val="none"/>
        </w:rPr>
        <w:t>From: Office of Vice President for Academic Affairs</w:t>
      </w:r>
    </w:p>
    <w:p w14:paraId="3802EAA5" w14:textId="77777777" w:rsidR="00F06B78" w:rsidRDefault="00F06B78" w:rsidP="00F06B78">
      <w:pPr>
        <w:rPr>
          <w:rtl/>
        </w:rPr>
      </w:pPr>
      <w:r>
        <w:rPr>
          <w:rFonts w:ascii="Arial" w:hAnsi="Arial" w:cs="Arial"/>
          <w:b/>
          <w:bCs/>
          <w:color w:val="000000"/>
          <w:sz w:val="20"/>
          <w:szCs w:val="20"/>
          <w14:ligatures w14:val="none"/>
        </w:rPr>
        <w:t>To: All</w:t>
      </w:r>
    </w:p>
    <w:p w14:paraId="62F09B79" w14:textId="77777777" w:rsidR="00F06B78" w:rsidRDefault="00F06B78" w:rsidP="00F06B78">
      <w:pPr>
        <w:jc w:val="both"/>
      </w:pPr>
      <w:r>
        <w:rPr>
          <w:rFonts w:ascii="Arial" w:hAnsi="Arial" w:cs="Arial"/>
          <w:b/>
          <w:bCs/>
          <w:color w:val="000000"/>
          <w:sz w:val="20"/>
          <w:szCs w:val="20"/>
          <w14:ligatures w14:val="none"/>
        </w:rPr>
        <w:t>Subject: Appointment of Associate Dean for Academic Affairs, College of Law</w:t>
      </w:r>
    </w:p>
    <w:p w14:paraId="43896180" w14:textId="77777777" w:rsidR="00F06B78" w:rsidRDefault="00F06B78" w:rsidP="00F06B78">
      <w:pPr>
        <w:jc w:val="both"/>
      </w:pPr>
      <w:r>
        <w:rPr>
          <w:rFonts w:ascii="Arial" w:hAnsi="Arial" w:cs="Arial"/>
          <w:color w:val="000000"/>
          <w:sz w:val="20"/>
          <w:szCs w:val="20"/>
          <w:rtl/>
          <w14:ligatures w14:val="none"/>
        </w:rPr>
        <w:t> </w:t>
      </w:r>
    </w:p>
    <w:p w14:paraId="086E3E99" w14:textId="77777777" w:rsidR="00F06B78" w:rsidRDefault="00F06B78" w:rsidP="00F06B78">
      <w:pPr>
        <w:jc w:val="both"/>
      </w:pPr>
      <w:r>
        <w:rPr>
          <w:rFonts w:ascii="Arial" w:hAnsi="Arial" w:cs="Arial"/>
          <w:color w:val="000000"/>
          <w:sz w:val="20"/>
          <w:szCs w:val="20"/>
          <w14:ligatures w14:val="none"/>
        </w:rPr>
        <w:t>The Office of the Vice President for Academic Affairs is pleased to announce the appointment of Dr. Andrew Mazen Dahdal as Associate of Academic Affairs in the College of Law. The appointment is effective as of 25</w:t>
      </w:r>
      <w:r>
        <w:rPr>
          <w:rFonts w:ascii="Arial" w:hAnsi="Arial" w:cs="Arial"/>
          <w:color w:val="000000"/>
          <w:sz w:val="20"/>
          <w:szCs w:val="20"/>
          <w:vertAlign w:val="superscript"/>
          <w14:ligatures w14:val="none"/>
        </w:rPr>
        <w:t>th</w:t>
      </w:r>
      <w:r>
        <w:rPr>
          <w:rFonts w:ascii="Arial" w:hAnsi="Arial" w:cs="Arial"/>
          <w:color w:val="000000"/>
          <w:sz w:val="20"/>
          <w:szCs w:val="20"/>
          <w14:ligatures w14:val="none"/>
        </w:rPr>
        <w:t xml:space="preserve"> August 2025.</w:t>
      </w:r>
    </w:p>
    <w:p w14:paraId="086437EC" w14:textId="77777777" w:rsidR="00F06B78" w:rsidRDefault="00F06B78" w:rsidP="00F06B78">
      <w:pPr>
        <w:jc w:val="both"/>
      </w:pPr>
      <w:r>
        <w:rPr>
          <w:rFonts w:ascii="Arial" w:hAnsi="Arial" w:cs="Arial"/>
          <w:sz w:val="20"/>
          <w:szCs w:val="20"/>
          <w14:ligatures w14:val="none"/>
        </w:rPr>
        <w:t xml:space="preserve">Associate Professor Andrew Mazen Dahdal earned his PhD in 2014 from the University of New South Wales (Sydney, Australia), specializing in banking regulation and constitutional interpretation. He has </w:t>
      </w:r>
      <w:r>
        <w:rPr>
          <w:rFonts w:ascii="Arial" w:hAnsi="Arial" w:cs="Arial"/>
          <w:sz w:val="20"/>
          <w:szCs w:val="20"/>
          <w14:ligatures w14:val="none"/>
        </w:rPr>
        <w:lastRenderedPageBreak/>
        <w:t>taught at Macquarie University (Sydney, Australia) before joining the College of Law at Qatar University in 2015.</w:t>
      </w:r>
    </w:p>
    <w:p w14:paraId="07C1FF07" w14:textId="77777777" w:rsidR="00F06B78" w:rsidRDefault="00F06B78" w:rsidP="00F06B78">
      <w:pPr>
        <w:jc w:val="both"/>
      </w:pPr>
      <w:r>
        <w:rPr>
          <w:rFonts w:ascii="Arial" w:hAnsi="Arial" w:cs="Arial"/>
          <w:sz w:val="20"/>
          <w:szCs w:val="20"/>
          <w14:ligatures w14:val="none"/>
        </w:rPr>
        <w:t>Since 2016, Dr. Dahdal has served as Chair of the Commercial Law Group at the International Association of Law Schools (IALS). He is a recognized leader in legal research and reform, particularly in Qatar’s rapidly evolving financial technology (fintech) sector. He has led and contributed to numerous successful grant-funded projects focused on digital finance, financial inclusion, and legal innovation, which have informed key legislative reforms in Qatar.</w:t>
      </w:r>
    </w:p>
    <w:p w14:paraId="38615C0D" w14:textId="77777777" w:rsidR="00F06B78" w:rsidRDefault="00F06B78" w:rsidP="00F06B78">
      <w:pPr>
        <w:jc w:val="both"/>
      </w:pPr>
      <w:r>
        <w:rPr>
          <w:rFonts w:ascii="Arial" w:hAnsi="Arial" w:cs="Arial"/>
          <w:sz w:val="20"/>
          <w:szCs w:val="20"/>
          <w14:ligatures w14:val="none"/>
        </w:rPr>
        <w:t>Dr. Dahdal regularly collaborates with industry stakeholders and provides expert submissions to both national and international governmental bodies on topics including digital finance, emerging technologies, and corporate accountability. His academic contributions include books, chapters, and peer-reviewed articles. Notably, in 2022, he authored Qatari Business Law, published by Qatar University Press, offering a comprehensive overview of commercial regulation in the country.</w:t>
      </w:r>
    </w:p>
    <w:p w14:paraId="0A153485" w14:textId="77777777" w:rsidR="00F06B78" w:rsidRDefault="00F06B78" w:rsidP="00F06B78">
      <w:pPr>
        <w:jc w:val="both"/>
      </w:pPr>
      <w:r>
        <w:rPr>
          <w:rFonts w:ascii="Arial" w:hAnsi="Arial" w:cs="Arial"/>
          <w:sz w:val="20"/>
          <w:szCs w:val="20"/>
          <w14:ligatures w14:val="none"/>
        </w:rPr>
        <w:t>In recognition of his leadership, Dr. Dahdal was appointed Chair of the College of Law's Strategic Planning, National and International Relations, and Ranking Committee in 2023. In 2024, he joined the Qatar Financial Centre (QFC) Digital Asset Framework Advisory Group and has served as an industry expert and mentor for the Qatar Fintech Hub since 2021. In 2025, Dr. Dahdal was honored with the Qatar Legal Academic of the Year award by a leading regional legal publisher, affirming his impact on legal education, research, and policy development in the region.</w:t>
      </w:r>
    </w:p>
    <w:p w14:paraId="6A8C84F7" w14:textId="77777777" w:rsidR="00F06B78" w:rsidRDefault="00F06B78" w:rsidP="00F06B78">
      <w:pPr>
        <w:jc w:val="both"/>
      </w:pPr>
      <w:r>
        <w:rPr>
          <w:rFonts w:ascii="Arial" w:hAnsi="Arial" w:cs="Arial"/>
          <w:sz w:val="20"/>
          <w:szCs w:val="20"/>
          <w14:ligatures w14:val="none"/>
        </w:rPr>
        <w:t>We would like to take the opportunity to thank Dr. Mohammed Hassan Al-Kaabi for all his work and effort during his tenure in this role.</w:t>
      </w:r>
    </w:p>
    <w:p w14:paraId="2BD5EFD8" w14:textId="77777777" w:rsidR="00F06B78" w:rsidRDefault="00F06B78" w:rsidP="00F06B78">
      <w:r>
        <w:rPr>
          <w:rFonts w:ascii="Arial" w:hAnsi="Arial" w:cs="Arial"/>
          <w:sz w:val="20"/>
          <w:szCs w:val="20"/>
          <w14:ligatures w14:val="none"/>
        </w:rPr>
        <w:t> </w:t>
      </w:r>
    </w:p>
    <w:p w14:paraId="495EEB77" w14:textId="77777777" w:rsidR="00F06B78" w:rsidRDefault="00F06B78" w:rsidP="00F06B78">
      <w:pPr>
        <w:bidi/>
      </w:pPr>
      <w:r>
        <w:rPr>
          <w:rFonts w:ascii="Calibri Light" w:hAnsi="Calibri Light" w:cs="Calibri Light"/>
        </w:rPr>
        <w:t> </w:t>
      </w:r>
    </w:p>
    <w:p w14:paraId="2DF4B7C5" w14:textId="77777777" w:rsidR="00167BA8" w:rsidRDefault="00167BA8"/>
    <w:sectPr w:rsidR="00167B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6B78"/>
    <w:rsid w:val="0000509B"/>
    <w:rsid w:val="00167BA8"/>
    <w:rsid w:val="003D1D31"/>
    <w:rsid w:val="005E1865"/>
    <w:rsid w:val="006E6618"/>
    <w:rsid w:val="008F202D"/>
    <w:rsid w:val="00F06B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A888D"/>
  <w15:chartTrackingRefBased/>
  <w15:docId w15:val="{9302CD33-E2BA-4569-A1AD-0228D0B30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6B78"/>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F06B7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F06B7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F06B7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F06B78"/>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F06B78"/>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F06B78"/>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F06B78"/>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F06B78"/>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F06B78"/>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6B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06B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06B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06B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06B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06B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06B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06B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06B78"/>
    <w:rPr>
      <w:rFonts w:eastAsiaTheme="majorEastAsia" w:cstheme="majorBidi"/>
      <w:color w:val="272727" w:themeColor="text1" w:themeTint="D8"/>
    </w:rPr>
  </w:style>
  <w:style w:type="paragraph" w:styleId="Title">
    <w:name w:val="Title"/>
    <w:basedOn w:val="Normal"/>
    <w:next w:val="Normal"/>
    <w:link w:val="TitleChar"/>
    <w:uiPriority w:val="10"/>
    <w:qFormat/>
    <w:rsid w:val="00F06B7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6B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6B78"/>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F06B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06B78"/>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F06B78"/>
    <w:rPr>
      <w:i/>
      <w:iCs/>
      <w:color w:val="404040" w:themeColor="text1" w:themeTint="BF"/>
    </w:rPr>
  </w:style>
  <w:style w:type="paragraph" w:styleId="ListParagraph">
    <w:name w:val="List Paragraph"/>
    <w:basedOn w:val="Normal"/>
    <w:uiPriority w:val="34"/>
    <w:qFormat/>
    <w:rsid w:val="00F06B78"/>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F06B78"/>
    <w:rPr>
      <w:i/>
      <w:iCs/>
      <w:color w:val="0F4761" w:themeColor="accent1" w:themeShade="BF"/>
    </w:rPr>
  </w:style>
  <w:style w:type="paragraph" w:styleId="IntenseQuote">
    <w:name w:val="Intense Quote"/>
    <w:basedOn w:val="Normal"/>
    <w:next w:val="Normal"/>
    <w:link w:val="IntenseQuoteChar"/>
    <w:uiPriority w:val="30"/>
    <w:qFormat/>
    <w:rsid w:val="00F06B7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F06B78"/>
    <w:rPr>
      <w:i/>
      <w:iCs/>
      <w:color w:val="0F4761" w:themeColor="accent1" w:themeShade="BF"/>
    </w:rPr>
  </w:style>
  <w:style w:type="character" w:styleId="IntenseReference">
    <w:name w:val="Intense Reference"/>
    <w:basedOn w:val="DefaultParagraphFont"/>
    <w:uiPriority w:val="32"/>
    <w:qFormat/>
    <w:rsid w:val="00F06B7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66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4290.F6830DE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652</Words>
  <Characters>3718</Characters>
  <Application>Microsoft Office Word</Application>
  <DocSecurity>0</DocSecurity>
  <Lines>30</Lines>
  <Paragraphs>8</Paragraphs>
  <ScaleCrop>false</ScaleCrop>
  <Company>Qatar University</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2025-10-23T06:11:00Z</dcterms:created>
  <dcterms:modified xsi:type="dcterms:W3CDTF">2025-10-23T06:12:00Z</dcterms:modified>
</cp:coreProperties>
</file>